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741" w:rsidRPr="00E26566" w:rsidRDefault="00017741" w:rsidP="00017741">
      <w:pPr>
        <w:pStyle w:val="NormalWeb"/>
        <w:shd w:val="clear" w:color="auto" w:fill="FFFFFF"/>
        <w:spacing w:before="0" w:beforeAutospacing="0" w:after="69" w:afterAutospacing="0"/>
        <w:jc w:val="center"/>
        <w:rPr>
          <w:rFonts w:ascii="Arial Black" w:hAnsi="Arial Black" w:cstheme="minorBidi"/>
          <w:color w:val="1D2129"/>
          <w:sz w:val="40"/>
          <w:szCs w:val="40"/>
          <w:u w:val="single"/>
        </w:rPr>
      </w:pPr>
      <w:r w:rsidRPr="00E26566">
        <w:rPr>
          <w:rFonts w:ascii="Arial Black" w:hAnsi="Arial Black" w:cstheme="minorBidi"/>
          <w:color w:val="1D2129"/>
          <w:sz w:val="40"/>
          <w:szCs w:val="40"/>
          <w:u w:val="single"/>
        </w:rPr>
        <w:t>IMPORTANT NOTICE:</w:t>
      </w:r>
    </w:p>
    <w:p w:rsidR="00017741" w:rsidRPr="00017741" w:rsidRDefault="00017741" w:rsidP="00017741">
      <w:pPr>
        <w:pStyle w:val="NormalWeb"/>
        <w:shd w:val="clear" w:color="auto" w:fill="FFFFFF"/>
        <w:spacing w:before="0" w:beforeAutospacing="0" w:after="69" w:afterAutospacing="0"/>
        <w:rPr>
          <w:rFonts w:asciiTheme="minorBidi" w:hAnsiTheme="minorBidi" w:cstheme="minorBidi"/>
          <w:color w:val="1D2129"/>
          <w:sz w:val="28"/>
          <w:szCs w:val="28"/>
        </w:rPr>
      </w:pPr>
    </w:p>
    <w:p w:rsidR="00017741" w:rsidRPr="00017741" w:rsidRDefault="00017741" w:rsidP="00017741">
      <w:pPr>
        <w:pStyle w:val="NormalWeb"/>
        <w:shd w:val="clear" w:color="auto" w:fill="FFFFFF"/>
        <w:spacing w:before="69" w:beforeAutospacing="0" w:after="69" w:afterAutospacing="0"/>
        <w:rPr>
          <w:rFonts w:asciiTheme="minorBidi" w:hAnsiTheme="minorBidi" w:cstheme="minorBidi"/>
          <w:color w:val="1D2129"/>
          <w:sz w:val="28"/>
          <w:szCs w:val="28"/>
        </w:rPr>
      </w:pPr>
      <w:r w:rsidRPr="00017741">
        <w:rPr>
          <w:rFonts w:asciiTheme="minorBidi" w:hAnsiTheme="minorBidi" w:cstheme="minorBidi"/>
          <w:color w:val="1D2129"/>
          <w:sz w:val="28"/>
          <w:szCs w:val="28"/>
        </w:rPr>
        <w:t xml:space="preserve">1. </w:t>
      </w:r>
      <w:r>
        <w:rPr>
          <w:rFonts w:asciiTheme="minorBidi" w:hAnsiTheme="minorBidi" w:cstheme="minorBidi"/>
          <w:color w:val="1D2129"/>
          <w:sz w:val="28"/>
          <w:szCs w:val="28"/>
        </w:rPr>
        <w:tab/>
      </w:r>
      <w:r w:rsidRPr="00017741">
        <w:rPr>
          <w:rFonts w:asciiTheme="minorBidi" w:hAnsiTheme="minorBidi" w:cstheme="minorBidi"/>
          <w:color w:val="1D2129"/>
          <w:sz w:val="28"/>
          <w:szCs w:val="28"/>
        </w:rPr>
        <w:t>As of April 29th, foreign nationals who have stayed in the countries or territories ( including the 73 countries listed in the April 1st announcement and 14 countries listed on April 29 ) within 14 days of applying for landing permission will, in principle, be denied entry to Japan.</w:t>
      </w:r>
    </w:p>
    <w:p w:rsidR="00017741" w:rsidRPr="00017741" w:rsidRDefault="00017741" w:rsidP="00017741">
      <w:pPr>
        <w:pStyle w:val="NormalWeb"/>
        <w:shd w:val="clear" w:color="auto" w:fill="FFFFFF"/>
        <w:spacing w:before="69" w:beforeAutospacing="0" w:after="69" w:afterAutospacing="0"/>
        <w:rPr>
          <w:rFonts w:asciiTheme="minorBidi" w:hAnsiTheme="minorBidi" w:cstheme="minorBidi"/>
          <w:color w:val="1D2129"/>
          <w:sz w:val="28"/>
          <w:szCs w:val="28"/>
        </w:rPr>
      </w:pPr>
    </w:p>
    <w:p w:rsidR="00017741" w:rsidRPr="00017741" w:rsidRDefault="00017741" w:rsidP="00017741">
      <w:pPr>
        <w:pStyle w:val="NormalWeb"/>
        <w:shd w:val="clear" w:color="auto" w:fill="FFFFFF"/>
        <w:spacing w:before="69" w:beforeAutospacing="0" w:after="69" w:afterAutospacing="0"/>
        <w:rPr>
          <w:rFonts w:asciiTheme="minorBidi" w:hAnsiTheme="minorBidi" w:cstheme="minorBidi"/>
          <w:color w:val="1D2129"/>
          <w:sz w:val="28"/>
          <w:szCs w:val="28"/>
        </w:rPr>
      </w:pPr>
      <w:r w:rsidRPr="00017741">
        <w:rPr>
          <w:rFonts w:asciiTheme="minorBidi" w:hAnsiTheme="minorBidi" w:cstheme="minorBidi"/>
          <w:color w:val="1D2129"/>
          <w:sz w:val="28"/>
          <w:szCs w:val="28"/>
        </w:rPr>
        <w:t>2.</w:t>
      </w:r>
      <w:r>
        <w:rPr>
          <w:rFonts w:asciiTheme="minorBidi" w:hAnsiTheme="minorBidi" w:cstheme="minorBidi"/>
          <w:color w:val="1D2129"/>
          <w:sz w:val="28"/>
          <w:szCs w:val="28"/>
        </w:rPr>
        <w:tab/>
      </w:r>
      <w:r w:rsidRPr="00017741">
        <w:rPr>
          <w:rFonts w:asciiTheme="minorBidi" w:hAnsiTheme="minorBidi" w:cstheme="minorBidi"/>
          <w:color w:val="1D2129"/>
          <w:sz w:val="28"/>
          <w:szCs w:val="28"/>
        </w:rPr>
        <w:t>The order also applies to foreign residents with the following residency statuses, including their spouses and children:</w:t>
      </w:r>
      <w:r w:rsidRPr="00017741">
        <w:rPr>
          <w:rFonts w:asciiTheme="minorBidi" w:hAnsiTheme="minorBidi" w:cstheme="minorBidi"/>
          <w:color w:val="1D2129"/>
          <w:sz w:val="28"/>
          <w:szCs w:val="28"/>
        </w:rPr>
        <w:br/>
        <w:t xml:space="preserve">• </w:t>
      </w:r>
      <w:r w:rsidRPr="00017741">
        <w:rPr>
          <w:rFonts w:asciiTheme="minorBidi" w:eastAsia="MS Gothic" w:hAnsi="MS Gothic" w:cstheme="minorBidi"/>
          <w:color w:val="1D2129"/>
          <w:sz w:val="28"/>
          <w:szCs w:val="28"/>
        </w:rPr>
        <w:t>永住者</w:t>
      </w:r>
      <w:r w:rsidRPr="00017741">
        <w:rPr>
          <w:rFonts w:asciiTheme="minorBidi" w:hAnsiTheme="minorBidi" w:cstheme="minorBidi"/>
          <w:color w:val="1D2129"/>
          <w:sz w:val="28"/>
          <w:szCs w:val="28"/>
        </w:rPr>
        <w:t xml:space="preserve"> (Eijū-sha) – Permanent Residents</w:t>
      </w:r>
      <w:r w:rsidRPr="00017741">
        <w:rPr>
          <w:rFonts w:asciiTheme="minorBidi" w:hAnsiTheme="minorBidi" w:cstheme="minorBidi"/>
          <w:color w:val="1D2129"/>
          <w:sz w:val="28"/>
          <w:szCs w:val="28"/>
        </w:rPr>
        <w:br/>
        <w:t xml:space="preserve">• </w:t>
      </w:r>
      <w:r w:rsidRPr="00017741">
        <w:rPr>
          <w:rFonts w:asciiTheme="minorBidi" w:eastAsia="MS Gothic" w:hAnsi="MS Gothic" w:cstheme="minorBidi"/>
          <w:color w:val="1D2129"/>
          <w:sz w:val="28"/>
          <w:szCs w:val="28"/>
        </w:rPr>
        <w:t>日本人の配偶者</w:t>
      </w:r>
      <w:r w:rsidRPr="00017741">
        <w:rPr>
          <w:rFonts w:asciiTheme="minorBidi" w:hAnsiTheme="minorBidi" w:cstheme="minorBidi"/>
          <w:color w:val="1D2129"/>
          <w:sz w:val="28"/>
          <w:szCs w:val="28"/>
        </w:rPr>
        <w:t xml:space="preserve"> (Nihonjin no haigūsha) – Spouses of Japanese Nationals</w:t>
      </w:r>
      <w:r w:rsidRPr="00017741">
        <w:rPr>
          <w:rFonts w:asciiTheme="minorBidi" w:hAnsiTheme="minorBidi" w:cstheme="minorBidi"/>
          <w:color w:val="1D2129"/>
          <w:sz w:val="28"/>
          <w:szCs w:val="28"/>
        </w:rPr>
        <w:br/>
        <w:t xml:space="preserve">• </w:t>
      </w:r>
      <w:r w:rsidRPr="00017741">
        <w:rPr>
          <w:rFonts w:asciiTheme="minorBidi" w:eastAsia="MS Gothic" w:hAnsi="MS Gothic" w:cstheme="minorBidi"/>
          <w:color w:val="1D2129"/>
          <w:sz w:val="28"/>
          <w:szCs w:val="28"/>
        </w:rPr>
        <w:t>定住者</w:t>
      </w:r>
      <w:r w:rsidRPr="00017741">
        <w:rPr>
          <w:rFonts w:asciiTheme="minorBidi" w:hAnsiTheme="minorBidi" w:cstheme="minorBidi"/>
          <w:color w:val="1D2129"/>
          <w:sz w:val="28"/>
          <w:szCs w:val="28"/>
        </w:rPr>
        <w:t xml:space="preserve"> (Teijū-sha) – Long-Term Permanent Residents</w:t>
      </w:r>
      <w:r w:rsidRPr="00017741">
        <w:rPr>
          <w:rFonts w:asciiTheme="minorBidi" w:hAnsiTheme="minorBidi" w:cstheme="minorBidi"/>
          <w:color w:val="1D2129"/>
          <w:sz w:val="28"/>
          <w:szCs w:val="28"/>
        </w:rPr>
        <w:br/>
      </w:r>
    </w:p>
    <w:p w:rsidR="00017741" w:rsidRPr="00017741" w:rsidRDefault="00017741" w:rsidP="00017741">
      <w:pPr>
        <w:pStyle w:val="NormalWeb"/>
        <w:shd w:val="clear" w:color="auto" w:fill="FFFFFF"/>
        <w:spacing w:before="69" w:beforeAutospacing="0" w:after="69" w:afterAutospacing="0"/>
        <w:rPr>
          <w:rFonts w:asciiTheme="minorBidi" w:hAnsiTheme="minorBidi" w:cstheme="minorBidi"/>
          <w:color w:val="1D2129"/>
          <w:sz w:val="28"/>
          <w:szCs w:val="28"/>
        </w:rPr>
      </w:pPr>
      <w:r w:rsidRPr="00017741">
        <w:rPr>
          <w:rFonts w:asciiTheme="minorBidi" w:hAnsiTheme="minorBidi" w:cstheme="minorBidi"/>
          <w:color w:val="1D2129"/>
          <w:sz w:val="28"/>
          <w:szCs w:val="28"/>
        </w:rPr>
        <w:t>3.</w:t>
      </w:r>
      <w:r>
        <w:rPr>
          <w:rFonts w:asciiTheme="minorBidi" w:hAnsiTheme="minorBidi" w:cstheme="minorBidi"/>
          <w:color w:val="1D2129"/>
          <w:sz w:val="28"/>
          <w:szCs w:val="28"/>
        </w:rPr>
        <w:tab/>
      </w:r>
      <w:r w:rsidRPr="00017741">
        <w:rPr>
          <w:rFonts w:asciiTheme="minorBidi" w:hAnsiTheme="minorBidi" w:cstheme="minorBidi"/>
          <w:color w:val="1D2129"/>
          <w:sz w:val="28"/>
          <w:szCs w:val="28"/>
        </w:rPr>
        <w:t xml:space="preserve"> Due to this, Japanese Government advises that foreign residents with the above residency statuses avoid travel to countries where they may be subject to denial of landing. However, the announcement also said that under special circumstances, exceptions may be made in individual cases.</w:t>
      </w:r>
      <w:r w:rsidRPr="00017741">
        <w:rPr>
          <w:rFonts w:asciiTheme="minorBidi" w:hAnsiTheme="minorBidi" w:cstheme="minorBidi"/>
          <w:color w:val="1D2129"/>
          <w:sz w:val="28"/>
          <w:szCs w:val="28"/>
        </w:rPr>
        <w:br/>
      </w:r>
    </w:p>
    <w:p w:rsidR="00017741" w:rsidRPr="00017741" w:rsidRDefault="00017741" w:rsidP="00017741">
      <w:pPr>
        <w:pStyle w:val="NormalWeb"/>
        <w:shd w:val="clear" w:color="auto" w:fill="FFFFFF"/>
        <w:spacing w:before="69" w:beforeAutospacing="0" w:after="69" w:afterAutospacing="0"/>
        <w:rPr>
          <w:rFonts w:asciiTheme="minorBidi" w:hAnsiTheme="minorBidi" w:cstheme="minorBidi"/>
          <w:color w:val="1D2129"/>
          <w:sz w:val="28"/>
          <w:szCs w:val="28"/>
        </w:rPr>
      </w:pPr>
      <w:r w:rsidRPr="00017741">
        <w:rPr>
          <w:rFonts w:asciiTheme="minorBidi" w:hAnsiTheme="minorBidi" w:cstheme="minorBidi"/>
          <w:color w:val="1D2129"/>
          <w:sz w:val="28"/>
          <w:szCs w:val="28"/>
        </w:rPr>
        <w:t xml:space="preserve">4. </w:t>
      </w:r>
      <w:r>
        <w:rPr>
          <w:rFonts w:asciiTheme="minorBidi" w:hAnsiTheme="minorBidi" w:cstheme="minorBidi"/>
          <w:color w:val="1D2129"/>
          <w:sz w:val="28"/>
          <w:szCs w:val="28"/>
        </w:rPr>
        <w:tab/>
      </w:r>
      <w:r w:rsidRPr="00017741">
        <w:rPr>
          <w:rFonts w:asciiTheme="minorBidi" w:hAnsiTheme="minorBidi" w:cstheme="minorBidi"/>
          <w:color w:val="1D2129"/>
          <w:sz w:val="28"/>
          <w:szCs w:val="28"/>
        </w:rPr>
        <w:t>The entry ban does not apply to Japanese citizens or Special Permanent Residents (</w:t>
      </w:r>
      <w:r w:rsidRPr="00017741">
        <w:rPr>
          <w:rFonts w:asciiTheme="minorBidi" w:eastAsia="MS Gothic" w:hAnsi="MS Gothic" w:cstheme="minorBidi"/>
          <w:color w:val="1D2129"/>
          <w:sz w:val="28"/>
          <w:szCs w:val="28"/>
        </w:rPr>
        <w:t>特別永住者</w:t>
      </w:r>
      <w:r w:rsidRPr="00017741">
        <w:rPr>
          <w:rFonts w:asciiTheme="minorBidi" w:hAnsiTheme="minorBidi" w:cstheme="minorBidi"/>
          <w:color w:val="1D2129"/>
          <w:sz w:val="28"/>
          <w:szCs w:val="28"/>
        </w:rPr>
        <w:t>).</w:t>
      </w:r>
      <w:r w:rsidRPr="00017741">
        <w:rPr>
          <w:rFonts w:asciiTheme="minorBidi" w:hAnsiTheme="minorBidi" w:cstheme="minorBidi"/>
          <w:color w:val="1D2129"/>
          <w:sz w:val="28"/>
          <w:szCs w:val="28"/>
        </w:rPr>
        <w:br/>
      </w:r>
    </w:p>
    <w:p w:rsidR="00017741" w:rsidRPr="00017741" w:rsidRDefault="00017741" w:rsidP="00017741">
      <w:pPr>
        <w:pStyle w:val="NormalWeb"/>
        <w:shd w:val="clear" w:color="auto" w:fill="FFFFFF"/>
        <w:spacing w:before="69" w:beforeAutospacing="0" w:after="69" w:afterAutospacing="0"/>
        <w:rPr>
          <w:rFonts w:asciiTheme="minorBidi" w:hAnsiTheme="minorBidi" w:cstheme="minorBidi"/>
          <w:color w:val="1D2129"/>
          <w:sz w:val="28"/>
          <w:szCs w:val="28"/>
        </w:rPr>
      </w:pPr>
      <w:r w:rsidRPr="00017741">
        <w:rPr>
          <w:rFonts w:asciiTheme="minorBidi" w:hAnsiTheme="minorBidi" w:cstheme="minorBidi"/>
          <w:color w:val="1D2129"/>
          <w:sz w:val="28"/>
          <w:szCs w:val="28"/>
        </w:rPr>
        <w:t xml:space="preserve">5. </w:t>
      </w:r>
      <w:r>
        <w:rPr>
          <w:rFonts w:asciiTheme="minorBidi" w:hAnsiTheme="minorBidi" w:cstheme="minorBidi"/>
          <w:color w:val="1D2129"/>
          <w:sz w:val="28"/>
          <w:szCs w:val="28"/>
        </w:rPr>
        <w:tab/>
      </w:r>
      <w:r w:rsidRPr="00017741">
        <w:rPr>
          <w:rFonts w:asciiTheme="minorBidi" w:hAnsiTheme="minorBidi" w:cstheme="minorBidi"/>
          <w:color w:val="1D2129"/>
          <w:sz w:val="28"/>
          <w:szCs w:val="28"/>
        </w:rPr>
        <w:t>In cases where a foreign national with the status of residence of “Permanent Resident”, “Spouse or Child of Japanese National”, “Spouse or Child of Permanent Resident” or “Long-Term Resident” departed from Japan on or before April 2, 2020 with re-entry permission (including special re-entry permission; the same applies hereinafter) (including the spouse of a Japanese national or Japanese child who does not have these statuses of residence; hereinafter the same applies), will be considered, in principle, to come under special exceptional circumstances.</w:t>
      </w:r>
      <w:r w:rsidRPr="00017741">
        <w:rPr>
          <w:rFonts w:asciiTheme="minorBidi" w:hAnsiTheme="minorBidi" w:cstheme="minorBidi"/>
          <w:color w:val="1D2129"/>
          <w:sz w:val="28"/>
          <w:szCs w:val="28"/>
        </w:rPr>
        <w:br/>
      </w:r>
    </w:p>
    <w:p w:rsidR="00017741" w:rsidRDefault="00017741" w:rsidP="00017741">
      <w:pPr>
        <w:pStyle w:val="NormalWeb"/>
        <w:shd w:val="clear" w:color="auto" w:fill="FFFFFF"/>
        <w:spacing w:before="69" w:beforeAutospacing="0" w:after="69" w:afterAutospacing="0"/>
        <w:rPr>
          <w:rFonts w:asciiTheme="minorBidi" w:hAnsiTheme="minorBidi" w:cstheme="minorBidi"/>
          <w:color w:val="1D2129"/>
          <w:sz w:val="28"/>
          <w:szCs w:val="28"/>
        </w:rPr>
      </w:pPr>
      <w:r w:rsidRPr="00017741">
        <w:rPr>
          <w:rFonts w:asciiTheme="minorBidi" w:hAnsiTheme="minorBidi" w:cstheme="minorBidi"/>
          <w:color w:val="1D2129"/>
          <w:sz w:val="28"/>
          <w:szCs w:val="28"/>
        </w:rPr>
        <w:t xml:space="preserve">6. </w:t>
      </w:r>
      <w:r>
        <w:rPr>
          <w:rFonts w:asciiTheme="minorBidi" w:hAnsiTheme="minorBidi" w:cstheme="minorBidi"/>
          <w:color w:val="1D2129"/>
          <w:sz w:val="28"/>
          <w:szCs w:val="28"/>
        </w:rPr>
        <w:tab/>
      </w:r>
      <w:r w:rsidRPr="00017741">
        <w:rPr>
          <w:rFonts w:asciiTheme="minorBidi" w:hAnsiTheme="minorBidi" w:cstheme="minorBidi"/>
          <w:color w:val="1D2129"/>
          <w:sz w:val="28"/>
          <w:szCs w:val="28"/>
        </w:rPr>
        <w:t>Foreign nationals who departed from Japan with re-entry permission on or after April 3, even if they have one of the abovementioned statuses of residence are, in principle, subject to refusal of landing without special exceptional circumstances. If you are residing in Japan, please refrain from traveling to areas where landing will be denied as indicated in the following listing.</w:t>
      </w:r>
    </w:p>
    <w:p w:rsidR="00017741" w:rsidRPr="00017741" w:rsidRDefault="00017741" w:rsidP="00A64FBA">
      <w:pPr>
        <w:pStyle w:val="NormalWeb"/>
        <w:shd w:val="clear" w:color="auto" w:fill="FFFFFF"/>
        <w:spacing w:before="69" w:beforeAutospacing="0" w:after="69" w:afterAutospacing="0"/>
        <w:rPr>
          <w:rFonts w:asciiTheme="minorBidi" w:hAnsiTheme="minorBidi" w:cstheme="minorBidi"/>
          <w:color w:val="1D2129"/>
          <w:sz w:val="28"/>
          <w:szCs w:val="28"/>
        </w:rPr>
      </w:pPr>
      <w:r w:rsidRPr="00017741">
        <w:rPr>
          <w:rFonts w:asciiTheme="minorBidi" w:hAnsiTheme="minorBidi" w:cstheme="minorBidi"/>
          <w:color w:val="1D2129"/>
          <w:sz w:val="28"/>
          <w:szCs w:val="28"/>
        </w:rPr>
        <w:br/>
        <w:t>Special permanent residents are not subject to the examination under Article 5, paragraph (1) of the Immigration Control Act and therefore landing will not be denied based on the abovementioned measures.</w:t>
      </w:r>
      <w:r w:rsidRPr="00017741">
        <w:rPr>
          <w:rFonts w:asciiTheme="minorBidi" w:hAnsiTheme="minorBidi" w:cstheme="minorBidi"/>
          <w:color w:val="1D2129"/>
          <w:sz w:val="28"/>
          <w:szCs w:val="28"/>
        </w:rPr>
        <w:br/>
        <w:t>List of Countries (Declared on April 01 , 2020):</w:t>
      </w:r>
      <w:r w:rsidRPr="00017741">
        <w:rPr>
          <w:rFonts w:asciiTheme="minorBidi" w:hAnsiTheme="minorBidi" w:cstheme="minorBidi"/>
          <w:color w:val="1D2129"/>
          <w:sz w:val="28"/>
          <w:szCs w:val="28"/>
        </w:rPr>
        <w:br/>
        <w:t xml:space="preserve">Asia: Indonesia, Singapore, Thailand, Republic of Korea, Taiwan, China </w:t>
      </w:r>
      <w:r w:rsidRPr="00017741">
        <w:rPr>
          <w:rFonts w:asciiTheme="minorBidi" w:hAnsiTheme="minorBidi" w:cstheme="minorBidi"/>
          <w:color w:val="1D2129"/>
          <w:sz w:val="28"/>
          <w:szCs w:val="28"/>
        </w:rPr>
        <w:lastRenderedPageBreak/>
        <w:t xml:space="preserve">(including Hong Kong and Macau), Philippines, Brunei, Viet </w:t>
      </w:r>
      <w:r w:rsidR="00A64FBA">
        <w:rPr>
          <w:rFonts w:asciiTheme="minorBidi" w:hAnsiTheme="minorBidi" w:cstheme="minorBidi"/>
          <w:color w:val="1D2129"/>
          <w:sz w:val="28"/>
          <w:szCs w:val="28"/>
        </w:rPr>
        <w:t>N</w:t>
      </w:r>
      <w:r w:rsidRPr="00017741">
        <w:rPr>
          <w:rFonts w:asciiTheme="minorBidi" w:hAnsiTheme="minorBidi" w:cstheme="minorBidi"/>
          <w:color w:val="1D2129"/>
          <w:sz w:val="28"/>
          <w:szCs w:val="28"/>
        </w:rPr>
        <w:t>am, Malaysia</w:t>
      </w:r>
      <w:r w:rsidRPr="00017741">
        <w:rPr>
          <w:rFonts w:asciiTheme="minorBidi" w:hAnsiTheme="minorBidi" w:cstheme="minorBidi"/>
          <w:color w:val="1D2129"/>
          <w:sz w:val="28"/>
          <w:szCs w:val="28"/>
        </w:rPr>
        <w:br/>
      </w:r>
      <w:r w:rsidRPr="00017741">
        <w:rPr>
          <w:rFonts w:asciiTheme="minorBidi" w:eastAsia="MS Gothic" w:hAnsi="MS Gothic" w:cstheme="minorBidi"/>
          <w:color w:val="1D2129"/>
          <w:sz w:val="28"/>
          <w:szCs w:val="28"/>
        </w:rPr>
        <w:t>・</w:t>
      </w:r>
      <w:r w:rsidRPr="00017741">
        <w:rPr>
          <w:rFonts w:asciiTheme="minorBidi" w:hAnsiTheme="minorBidi" w:cstheme="minorBidi"/>
          <w:color w:val="1D2129"/>
          <w:sz w:val="28"/>
          <w:szCs w:val="28"/>
        </w:rPr>
        <w:t xml:space="preserve"> Oceania: Australia, New Zealand</w:t>
      </w:r>
      <w:r w:rsidRPr="00017741">
        <w:rPr>
          <w:rFonts w:asciiTheme="minorBidi" w:hAnsiTheme="minorBidi" w:cstheme="minorBidi"/>
          <w:color w:val="1D2129"/>
          <w:sz w:val="28"/>
          <w:szCs w:val="28"/>
        </w:rPr>
        <w:br/>
      </w:r>
      <w:r w:rsidRPr="00017741">
        <w:rPr>
          <w:rFonts w:asciiTheme="minorBidi" w:eastAsia="MS Gothic" w:hAnsi="MS Gothic" w:cstheme="minorBidi"/>
          <w:color w:val="1D2129"/>
          <w:sz w:val="28"/>
          <w:szCs w:val="28"/>
        </w:rPr>
        <w:t>・</w:t>
      </w:r>
      <w:r w:rsidRPr="00017741">
        <w:rPr>
          <w:rFonts w:asciiTheme="minorBidi" w:hAnsiTheme="minorBidi" w:cstheme="minorBidi"/>
          <w:color w:val="1D2129"/>
          <w:sz w:val="28"/>
          <w:szCs w:val="28"/>
        </w:rPr>
        <w:t xml:space="preserve"> North America: Canada, United States of America</w:t>
      </w:r>
      <w:r w:rsidRPr="00017741">
        <w:rPr>
          <w:rFonts w:asciiTheme="minorBidi" w:hAnsiTheme="minorBidi" w:cstheme="minorBidi"/>
          <w:color w:val="1D2129"/>
          <w:sz w:val="28"/>
          <w:szCs w:val="28"/>
        </w:rPr>
        <w:br/>
      </w:r>
      <w:r w:rsidRPr="00017741">
        <w:rPr>
          <w:rFonts w:asciiTheme="minorBidi" w:eastAsia="MS Gothic" w:hAnsi="MS Gothic" w:cstheme="minorBidi"/>
          <w:color w:val="1D2129"/>
          <w:sz w:val="28"/>
          <w:szCs w:val="28"/>
        </w:rPr>
        <w:t>・</w:t>
      </w:r>
      <w:r w:rsidRPr="00017741">
        <w:rPr>
          <w:rFonts w:asciiTheme="minorBidi" w:hAnsiTheme="minorBidi" w:cstheme="minorBidi"/>
          <w:color w:val="1D2129"/>
          <w:sz w:val="28"/>
          <w:szCs w:val="28"/>
        </w:rPr>
        <w:t xml:space="preserve"> Latin America and the Caribbean: Ecuador, Chile, Dominica, Panama, Brazil, Bolivia</w:t>
      </w:r>
      <w:r w:rsidRPr="00017741">
        <w:rPr>
          <w:rFonts w:asciiTheme="minorBidi" w:hAnsiTheme="minorBidi" w:cstheme="minorBidi"/>
          <w:color w:val="1D2129"/>
          <w:sz w:val="28"/>
          <w:szCs w:val="28"/>
        </w:rPr>
        <w:br/>
      </w:r>
      <w:r w:rsidRPr="00017741">
        <w:rPr>
          <w:rFonts w:asciiTheme="minorBidi" w:eastAsia="MS Gothic" w:hAnsi="MS Gothic" w:cstheme="minorBidi"/>
          <w:color w:val="1D2129"/>
          <w:sz w:val="28"/>
          <w:szCs w:val="28"/>
        </w:rPr>
        <w:t>・</w:t>
      </w:r>
      <w:r w:rsidRPr="00017741">
        <w:rPr>
          <w:rFonts w:asciiTheme="minorBidi" w:hAnsiTheme="minorBidi" w:cstheme="minorBidi"/>
          <w:color w:val="1D2129"/>
          <w:sz w:val="28"/>
          <w:szCs w:val="28"/>
        </w:rPr>
        <w:t xml:space="preserve"> Europe: Iceland, Ireland, Albania, Armenia, Andorra, Italy, the United Kingdom, Estonia, Austria, Netherlands, Northern Macedonia, Cyprus, Greece, Croatia, Kosovo, San Marino, Switzerland, Sweden, Spain, Slovakia, Slovenia, Serbia, Czech Republic, Denmark, Germany, Norway, Vatican, Hungary, Finland, France, Bulgaria, Belgium, Bosnia and Herzegovina, Poland, Portugal, Malta, Monaco, Moldova, Montenegro, Latvia, Lithuania, Liechtenstein, Romania, Luxembourg</w:t>
      </w:r>
      <w:r w:rsidRPr="00017741">
        <w:rPr>
          <w:rFonts w:asciiTheme="minorBidi" w:hAnsiTheme="minorBidi" w:cstheme="minorBidi"/>
          <w:color w:val="1D2129"/>
          <w:sz w:val="28"/>
          <w:szCs w:val="28"/>
        </w:rPr>
        <w:br/>
      </w:r>
      <w:r w:rsidRPr="00017741">
        <w:rPr>
          <w:rFonts w:asciiTheme="minorBidi" w:eastAsia="MS Gothic" w:hAnsi="MS Gothic" w:cstheme="minorBidi"/>
          <w:color w:val="1D2129"/>
          <w:sz w:val="28"/>
          <w:szCs w:val="28"/>
        </w:rPr>
        <w:t xml:space="preserve">　・</w:t>
      </w:r>
      <w:r w:rsidRPr="00017741">
        <w:rPr>
          <w:rFonts w:asciiTheme="minorBidi" w:hAnsiTheme="minorBidi" w:cstheme="minorBidi"/>
          <w:color w:val="1D2129"/>
          <w:sz w:val="28"/>
          <w:szCs w:val="28"/>
        </w:rPr>
        <w:t xml:space="preserve"> Middle East: Israel, Iran, Turkey, Bahrain</w:t>
      </w:r>
      <w:r w:rsidRPr="00017741">
        <w:rPr>
          <w:rFonts w:asciiTheme="minorBidi" w:hAnsiTheme="minorBidi" w:cstheme="minorBidi"/>
          <w:color w:val="1D2129"/>
          <w:sz w:val="28"/>
          <w:szCs w:val="28"/>
        </w:rPr>
        <w:br/>
      </w:r>
      <w:r w:rsidRPr="00017741">
        <w:rPr>
          <w:rFonts w:asciiTheme="minorBidi" w:eastAsia="MS Gothic" w:hAnsi="MS Gothic" w:cstheme="minorBidi"/>
          <w:color w:val="1D2129"/>
          <w:sz w:val="28"/>
          <w:szCs w:val="28"/>
        </w:rPr>
        <w:t>・</w:t>
      </w:r>
      <w:r w:rsidRPr="00017741">
        <w:rPr>
          <w:rFonts w:asciiTheme="minorBidi" w:hAnsiTheme="minorBidi" w:cstheme="minorBidi"/>
          <w:color w:val="1D2129"/>
          <w:sz w:val="28"/>
          <w:szCs w:val="28"/>
        </w:rPr>
        <w:t xml:space="preserve"> Africa: Egypt, Republic of Cote d'Ivoire, Democratic Republic of the Congo, Mauritius, Morocco</w:t>
      </w:r>
    </w:p>
    <w:p w:rsidR="00017741" w:rsidRPr="00017741" w:rsidRDefault="00017741" w:rsidP="00017741">
      <w:pPr>
        <w:pStyle w:val="NormalWeb"/>
        <w:shd w:val="clear" w:color="auto" w:fill="FFFFFF"/>
        <w:spacing w:before="69" w:beforeAutospacing="0" w:after="69" w:afterAutospacing="0"/>
        <w:rPr>
          <w:rFonts w:asciiTheme="minorBidi" w:hAnsiTheme="minorBidi" w:cstheme="minorBidi"/>
          <w:color w:val="1D2129"/>
          <w:sz w:val="28"/>
          <w:szCs w:val="28"/>
        </w:rPr>
      </w:pPr>
      <w:r w:rsidRPr="00017741">
        <w:rPr>
          <w:rFonts w:asciiTheme="minorBidi" w:hAnsiTheme="minorBidi" w:cstheme="minorBidi"/>
          <w:color w:val="1D2129"/>
          <w:sz w:val="28"/>
          <w:szCs w:val="28"/>
        </w:rPr>
        <w:t>Foreign nationals holding a passport issued in Hubei or Zhejiang, China</w:t>
      </w:r>
      <w:r w:rsidRPr="00017741">
        <w:rPr>
          <w:rFonts w:asciiTheme="minorBidi" w:hAnsiTheme="minorBidi" w:cstheme="minorBidi"/>
          <w:color w:val="1D2129"/>
          <w:sz w:val="28"/>
          <w:szCs w:val="28"/>
        </w:rPr>
        <w:br/>
        <w:t>Foreign nationals who were onboard the cruise ship Westerdam that departed from Hong Kong</w:t>
      </w:r>
      <w:r w:rsidRPr="00017741">
        <w:rPr>
          <w:rFonts w:asciiTheme="minorBidi" w:hAnsiTheme="minorBidi" w:cstheme="minorBidi"/>
          <w:color w:val="1D2129"/>
          <w:sz w:val="28"/>
          <w:szCs w:val="28"/>
        </w:rPr>
        <w:br/>
        <w:t>Additional list of 14 countries included on April 29, 2020 :</w:t>
      </w:r>
      <w:r w:rsidRPr="00017741">
        <w:rPr>
          <w:rFonts w:asciiTheme="minorBidi" w:hAnsiTheme="minorBidi" w:cstheme="minorBidi"/>
          <w:color w:val="1D2129"/>
          <w:sz w:val="28"/>
          <w:szCs w:val="28"/>
        </w:rPr>
        <w:br/>
        <w:t>• Antigua and Barbuda</w:t>
      </w:r>
      <w:r w:rsidRPr="00017741">
        <w:rPr>
          <w:rFonts w:asciiTheme="minorBidi" w:hAnsiTheme="minorBidi" w:cstheme="minorBidi"/>
          <w:color w:val="1D2129"/>
          <w:sz w:val="28"/>
          <w:szCs w:val="28"/>
        </w:rPr>
        <w:br/>
        <w:t>• Federation of Saint Christopher and Nevis</w:t>
      </w:r>
      <w:r w:rsidRPr="00017741">
        <w:rPr>
          <w:rFonts w:asciiTheme="minorBidi" w:hAnsiTheme="minorBidi" w:cstheme="minorBidi"/>
          <w:color w:val="1D2129"/>
          <w:sz w:val="28"/>
          <w:szCs w:val="28"/>
        </w:rPr>
        <w:br/>
        <w:t>• Dominican Republic</w:t>
      </w:r>
      <w:r w:rsidRPr="00017741">
        <w:rPr>
          <w:rFonts w:asciiTheme="minorBidi" w:hAnsiTheme="minorBidi" w:cstheme="minorBidi"/>
          <w:color w:val="1D2129"/>
          <w:sz w:val="28"/>
          <w:szCs w:val="28"/>
        </w:rPr>
        <w:br/>
        <w:t>• Barbados</w:t>
      </w:r>
      <w:r w:rsidRPr="00017741">
        <w:rPr>
          <w:rFonts w:asciiTheme="minorBidi" w:hAnsiTheme="minorBidi" w:cstheme="minorBidi"/>
          <w:color w:val="1D2129"/>
          <w:sz w:val="28"/>
          <w:szCs w:val="28"/>
        </w:rPr>
        <w:br/>
        <w:t>• Peru</w:t>
      </w:r>
      <w:r w:rsidRPr="00017741">
        <w:rPr>
          <w:rFonts w:asciiTheme="minorBidi" w:hAnsiTheme="minorBidi" w:cstheme="minorBidi"/>
          <w:color w:val="1D2129"/>
          <w:sz w:val="28"/>
          <w:szCs w:val="28"/>
        </w:rPr>
        <w:br/>
        <w:t>• Ukraine</w:t>
      </w:r>
      <w:r w:rsidRPr="00017741">
        <w:rPr>
          <w:rFonts w:asciiTheme="minorBidi" w:hAnsiTheme="minorBidi" w:cstheme="minorBidi"/>
          <w:color w:val="1D2129"/>
          <w:sz w:val="28"/>
          <w:szCs w:val="28"/>
        </w:rPr>
        <w:br/>
        <w:t>• Belarus</w:t>
      </w:r>
      <w:r w:rsidRPr="00017741">
        <w:rPr>
          <w:rFonts w:asciiTheme="minorBidi" w:hAnsiTheme="minorBidi" w:cstheme="minorBidi"/>
          <w:color w:val="1D2129"/>
          <w:sz w:val="28"/>
          <w:szCs w:val="28"/>
        </w:rPr>
        <w:br/>
        <w:t>• Russia</w:t>
      </w:r>
      <w:r w:rsidRPr="00017741">
        <w:rPr>
          <w:rFonts w:asciiTheme="minorBidi" w:hAnsiTheme="minorBidi" w:cstheme="minorBidi"/>
          <w:color w:val="1D2129"/>
          <w:sz w:val="28"/>
          <w:szCs w:val="28"/>
        </w:rPr>
        <w:br/>
        <w:t>• United Arab Emirates</w:t>
      </w:r>
      <w:r w:rsidRPr="00017741">
        <w:rPr>
          <w:rFonts w:asciiTheme="minorBidi" w:hAnsiTheme="minorBidi" w:cstheme="minorBidi"/>
          <w:color w:val="1D2129"/>
          <w:sz w:val="28"/>
          <w:szCs w:val="28"/>
        </w:rPr>
        <w:br/>
        <w:t>• Oman</w:t>
      </w:r>
      <w:r w:rsidRPr="00017741">
        <w:rPr>
          <w:rFonts w:asciiTheme="minorBidi" w:hAnsiTheme="minorBidi" w:cstheme="minorBidi"/>
          <w:color w:val="1D2129"/>
          <w:sz w:val="28"/>
          <w:szCs w:val="28"/>
        </w:rPr>
        <w:br/>
        <w:t>• Qatar</w:t>
      </w:r>
      <w:r w:rsidRPr="00017741">
        <w:rPr>
          <w:rFonts w:asciiTheme="minorBidi" w:hAnsiTheme="minorBidi" w:cstheme="minorBidi"/>
          <w:color w:val="1D2129"/>
          <w:sz w:val="28"/>
          <w:szCs w:val="28"/>
        </w:rPr>
        <w:br/>
        <w:t>• Kuwait</w:t>
      </w:r>
      <w:r w:rsidRPr="00017741">
        <w:rPr>
          <w:rFonts w:asciiTheme="minorBidi" w:hAnsiTheme="minorBidi" w:cstheme="minorBidi"/>
          <w:color w:val="1D2129"/>
          <w:sz w:val="28"/>
          <w:szCs w:val="28"/>
        </w:rPr>
        <w:br/>
        <w:t>• Saudi Arabia</w:t>
      </w:r>
      <w:r w:rsidRPr="00017741">
        <w:rPr>
          <w:rFonts w:asciiTheme="minorBidi" w:hAnsiTheme="minorBidi" w:cstheme="minorBidi"/>
          <w:color w:val="1D2129"/>
          <w:sz w:val="28"/>
          <w:szCs w:val="28"/>
        </w:rPr>
        <w:br/>
        <w:t>• Djibouti</w:t>
      </w:r>
    </w:p>
    <w:p w:rsidR="00017741" w:rsidRPr="00017741" w:rsidRDefault="00017741" w:rsidP="00017741">
      <w:pPr>
        <w:pStyle w:val="NormalWeb"/>
        <w:shd w:val="clear" w:color="auto" w:fill="FFFFFF"/>
        <w:spacing w:before="69" w:beforeAutospacing="0" w:after="0" w:afterAutospacing="0"/>
        <w:rPr>
          <w:rFonts w:asciiTheme="minorBidi" w:hAnsiTheme="minorBidi" w:cstheme="minorBidi"/>
          <w:color w:val="1D2129"/>
          <w:sz w:val="28"/>
          <w:szCs w:val="28"/>
        </w:rPr>
      </w:pPr>
      <w:r w:rsidRPr="00017741">
        <w:rPr>
          <w:rFonts w:asciiTheme="minorBidi" w:hAnsiTheme="minorBidi" w:cstheme="minorBidi"/>
          <w:color w:val="1D2129"/>
          <w:sz w:val="28"/>
          <w:szCs w:val="28"/>
        </w:rPr>
        <w:t>All Pakistani nationals are advised to follow the rules and regulations enacted by the Japanese Government before travelling.</w:t>
      </w:r>
    </w:p>
    <w:p w:rsidR="00E66209" w:rsidRDefault="00E66209" w:rsidP="00017741">
      <w:pPr>
        <w:pStyle w:val="NoSpacing"/>
        <w:rPr>
          <w:rFonts w:asciiTheme="minorBidi" w:hAnsiTheme="minorBidi"/>
          <w:sz w:val="28"/>
          <w:szCs w:val="28"/>
        </w:rPr>
      </w:pPr>
    </w:p>
    <w:p w:rsidR="00FD65F1" w:rsidRDefault="00FD65F1" w:rsidP="00017741">
      <w:pPr>
        <w:pStyle w:val="NoSpacing"/>
        <w:rPr>
          <w:rFonts w:asciiTheme="minorBidi" w:hAnsiTheme="minorBidi"/>
          <w:sz w:val="28"/>
          <w:szCs w:val="28"/>
        </w:rPr>
      </w:pPr>
    </w:p>
    <w:p w:rsidR="00FD65F1" w:rsidRDefault="00FD65F1" w:rsidP="00017741">
      <w:pPr>
        <w:pStyle w:val="NoSpacing"/>
        <w:rPr>
          <w:rFonts w:asciiTheme="minorBidi" w:hAnsiTheme="minorBidi"/>
          <w:sz w:val="28"/>
          <w:szCs w:val="28"/>
        </w:rPr>
      </w:pPr>
    </w:p>
    <w:p w:rsidR="00FD65F1" w:rsidRDefault="00FD65F1" w:rsidP="00FD65F1">
      <w:pPr>
        <w:pStyle w:val="NoSpacing"/>
        <w:jc w:val="center"/>
        <w:rPr>
          <w:rFonts w:asciiTheme="minorBidi" w:hAnsiTheme="minorBidi"/>
          <w:sz w:val="28"/>
          <w:szCs w:val="28"/>
        </w:rPr>
      </w:pPr>
      <w:r>
        <w:rPr>
          <w:rFonts w:asciiTheme="minorBidi" w:hAnsiTheme="minorBidi"/>
          <w:sz w:val="28"/>
          <w:szCs w:val="28"/>
        </w:rPr>
        <w:t>*******************************************</w:t>
      </w:r>
    </w:p>
    <w:p w:rsidR="00FD65F1" w:rsidRPr="00017741" w:rsidRDefault="00FD65F1" w:rsidP="00FD65F1">
      <w:pPr>
        <w:pStyle w:val="NoSpacing"/>
        <w:jc w:val="center"/>
        <w:rPr>
          <w:rFonts w:asciiTheme="minorBidi" w:hAnsiTheme="minorBidi"/>
          <w:sz w:val="28"/>
          <w:szCs w:val="28"/>
        </w:rPr>
      </w:pPr>
    </w:p>
    <w:sectPr w:rsidR="00FD65F1" w:rsidRPr="00017741" w:rsidSect="00017741">
      <w:pgSz w:w="12240" w:h="15840"/>
      <w:pgMar w:top="5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017741"/>
    <w:rsid w:val="00003EA6"/>
    <w:rsid w:val="00017741"/>
    <w:rsid w:val="00583F2D"/>
    <w:rsid w:val="007F7EAD"/>
    <w:rsid w:val="00A64FBA"/>
    <w:rsid w:val="00E26566"/>
    <w:rsid w:val="00E66209"/>
    <w:rsid w:val="00FD65F1"/>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2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741"/>
    <w:pPr>
      <w:spacing w:after="0" w:line="240" w:lineRule="auto"/>
    </w:pPr>
  </w:style>
  <w:style w:type="paragraph" w:styleId="NormalWeb">
    <w:name w:val="Normal (Web)"/>
    <w:basedOn w:val="Normal"/>
    <w:uiPriority w:val="99"/>
    <w:semiHidden/>
    <w:unhideWhenUsed/>
    <w:rsid w:val="000177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575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 Tokyo</dc:creator>
  <cp:lastModifiedBy>Press Section Tokyo</cp:lastModifiedBy>
  <cp:revision>4</cp:revision>
  <dcterms:created xsi:type="dcterms:W3CDTF">2020-04-30T22:54:00Z</dcterms:created>
  <dcterms:modified xsi:type="dcterms:W3CDTF">2020-04-30T22:57:00Z</dcterms:modified>
</cp:coreProperties>
</file>